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Default="001216C3">
      <w:pPr>
        <w:rPr>
          <w:rFonts w:ascii="Times New Roman" w:hAnsi="Times New Roman" w:cs="Times New Roman"/>
          <w:sz w:val="24"/>
          <w:szCs w:val="24"/>
        </w:rPr>
      </w:pPr>
      <w:bookmarkStart w:id="0" w:name="_GoBack"/>
      <w:bookmarkEnd w:id="0"/>
    </w:p>
    <w:p w:rsidR="004E3AC9" w:rsidRDefault="004E3AC9">
      <w:pPr>
        <w:rPr>
          <w:rFonts w:ascii="Times New Roman" w:hAnsi="Times New Roman" w:cs="Times New Roman"/>
          <w:sz w:val="24"/>
          <w:szCs w:val="24"/>
        </w:rPr>
      </w:pPr>
    </w:p>
    <w:p w:rsidR="004E3AC9" w:rsidRDefault="004E3AC9">
      <w:pPr>
        <w:rPr>
          <w:rFonts w:ascii="Times New Roman" w:hAnsi="Times New Roman" w:cs="Times New Roman"/>
          <w:sz w:val="24"/>
          <w:szCs w:val="24"/>
        </w:rPr>
      </w:pPr>
    </w:p>
    <w:p w:rsidR="004E3AC9" w:rsidRDefault="004E3AC9">
      <w:pPr>
        <w:rPr>
          <w:rFonts w:ascii="Times New Roman" w:hAnsi="Times New Roman" w:cs="Times New Roman"/>
          <w:sz w:val="24"/>
          <w:szCs w:val="24"/>
        </w:rPr>
      </w:pPr>
    </w:p>
    <w:p w:rsidR="004E3AC9" w:rsidRPr="004E3AC9" w:rsidRDefault="00752E73" w:rsidP="004E3AC9">
      <w:pPr>
        <w:jc w:val="center"/>
        <w:rPr>
          <w:rFonts w:ascii="Times New Roman" w:hAnsi="Times New Roman" w:cs="Times New Roman"/>
          <w:b/>
          <w:sz w:val="24"/>
          <w:szCs w:val="24"/>
        </w:rPr>
      </w:pPr>
      <w:r w:rsidRPr="004E3AC9">
        <w:rPr>
          <w:rFonts w:ascii="Times New Roman" w:hAnsi="Times New Roman" w:cs="Times New Roman"/>
          <w:b/>
          <w:sz w:val="24"/>
          <w:szCs w:val="24"/>
        </w:rPr>
        <w:t>Models for Healthcare Financing</w:t>
      </w:r>
    </w:p>
    <w:p w:rsidR="004E3AC9" w:rsidRDefault="004E3AC9" w:rsidP="004E3AC9">
      <w:pPr>
        <w:jc w:val="center"/>
        <w:rPr>
          <w:rFonts w:ascii="Times New Roman" w:hAnsi="Times New Roman" w:cs="Times New Roman"/>
          <w:sz w:val="24"/>
          <w:szCs w:val="24"/>
        </w:rPr>
      </w:pPr>
    </w:p>
    <w:p w:rsidR="004E3AC9" w:rsidRDefault="00752E73" w:rsidP="004E3AC9">
      <w:pPr>
        <w:jc w:val="center"/>
        <w:rPr>
          <w:rFonts w:ascii="Times New Roman" w:hAnsi="Times New Roman" w:cs="Times New Roman"/>
          <w:sz w:val="24"/>
          <w:szCs w:val="24"/>
        </w:rPr>
      </w:pPr>
      <w:r>
        <w:rPr>
          <w:rFonts w:ascii="Times New Roman" w:hAnsi="Times New Roman" w:cs="Times New Roman"/>
          <w:sz w:val="24"/>
          <w:szCs w:val="24"/>
        </w:rPr>
        <w:t>Author’s Name</w:t>
      </w:r>
    </w:p>
    <w:p w:rsidR="004E3AC9" w:rsidRDefault="00752E73" w:rsidP="004E3AC9">
      <w:pPr>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4E3AC9" w:rsidRDefault="00752E73" w:rsidP="004E3AC9">
      <w:pPr>
        <w:jc w:val="center"/>
        <w:rPr>
          <w:rFonts w:ascii="Times New Roman" w:hAnsi="Times New Roman" w:cs="Times New Roman"/>
          <w:sz w:val="24"/>
          <w:szCs w:val="24"/>
        </w:rPr>
      </w:pPr>
      <w:r>
        <w:rPr>
          <w:rFonts w:ascii="Times New Roman" w:hAnsi="Times New Roman" w:cs="Times New Roman"/>
          <w:sz w:val="24"/>
          <w:szCs w:val="24"/>
        </w:rPr>
        <w:t>Course Name and Number</w:t>
      </w:r>
    </w:p>
    <w:p w:rsidR="004E3AC9" w:rsidRDefault="00752E73" w:rsidP="004E3AC9">
      <w:pPr>
        <w:jc w:val="center"/>
        <w:rPr>
          <w:rFonts w:ascii="Times New Roman" w:hAnsi="Times New Roman" w:cs="Times New Roman"/>
          <w:sz w:val="24"/>
          <w:szCs w:val="24"/>
        </w:rPr>
      </w:pPr>
      <w:r>
        <w:rPr>
          <w:rFonts w:ascii="Times New Roman" w:hAnsi="Times New Roman" w:cs="Times New Roman"/>
          <w:sz w:val="24"/>
          <w:szCs w:val="24"/>
        </w:rPr>
        <w:t>Instructor’s Name</w:t>
      </w:r>
    </w:p>
    <w:p w:rsidR="004E3AC9" w:rsidRDefault="00752E73" w:rsidP="004E3AC9">
      <w:pPr>
        <w:jc w:val="center"/>
        <w:rPr>
          <w:rFonts w:ascii="Times New Roman" w:hAnsi="Times New Roman" w:cs="Times New Roman"/>
          <w:sz w:val="24"/>
          <w:szCs w:val="24"/>
        </w:rPr>
      </w:pPr>
      <w:r>
        <w:rPr>
          <w:rFonts w:ascii="Times New Roman" w:hAnsi="Times New Roman" w:cs="Times New Roman"/>
          <w:sz w:val="24"/>
          <w:szCs w:val="24"/>
        </w:rPr>
        <w:t>Due Date</w:t>
      </w: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Default="004E3AC9" w:rsidP="004E3AC9">
      <w:pPr>
        <w:jc w:val="center"/>
        <w:rPr>
          <w:rFonts w:ascii="Times New Roman" w:hAnsi="Times New Roman" w:cs="Times New Roman"/>
          <w:sz w:val="24"/>
          <w:szCs w:val="24"/>
        </w:rPr>
      </w:pPr>
    </w:p>
    <w:p w:rsidR="004E3AC9" w:rsidRPr="004E3AC9" w:rsidRDefault="00752E73" w:rsidP="004E3AC9">
      <w:pPr>
        <w:jc w:val="center"/>
        <w:rPr>
          <w:rFonts w:ascii="Times New Roman" w:hAnsi="Times New Roman" w:cs="Times New Roman"/>
          <w:b/>
          <w:sz w:val="24"/>
          <w:szCs w:val="24"/>
        </w:rPr>
      </w:pPr>
      <w:r w:rsidRPr="004E3AC9">
        <w:rPr>
          <w:rFonts w:ascii="Times New Roman" w:hAnsi="Times New Roman" w:cs="Times New Roman"/>
          <w:b/>
          <w:sz w:val="24"/>
          <w:szCs w:val="24"/>
        </w:rPr>
        <w:lastRenderedPageBreak/>
        <w:t>Models for Healthcare Financing</w:t>
      </w:r>
    </w:p>
    <w:p w:rsidR="004E3AC9" w:rsidRDefault="00752E73" w:rsidP="004E3AC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713FB">
        <w:rPr>
          <w:rFonts w:ascii="Times New Roman" w:hAnsi="Times New Roman" w:cs="Times New Roman"/>
          <w:sz w:val="24"/>
          <w:szCs w:val="24"/>
        </w:rPr>
        <w:t>The H</w:t>
      </w:r>
      <w:r w:rsidR="00331174">
        <w:rPr>
          <w:rFonts w:ascii="Times New Roman" w:hAnsi="Times New Roman" w:cs="Times New Roman"/>
          <w:sz w:val="24"/>
          <w:szCs w:val="24"/>
        </w:rPr>
        <w:t>ealthcare sector has significantly been affected by Covid-19; thus, different innovations have been incorporated, especially in financial matters, to foresee the smooth running of these organizations.  While the focus is on expanding the knowledge of challenges faced daily and offers an amicable solution. It is imperative to adopt a broad understanding of global healthcare coverage systems through different financial models. Other countries may use or create their model; however, the majority employs the Beveridge, Bismarck, national health insurance, and out-of-pocket models to ensure smooth financial operation within the health sector.</w:t>
      </w:r>
    </w:p>
    <w:p w:rsidR="004934D7" w:rsidRDefault="00752E73" w:rsidP="004E3AC9">
      <w:pPr>
        <w:rPr>
          <w:rFonts w:ascii="Times New Roman" w:hAnsi="Times New Roman" w:cs="Times New Roman"/>
          <w:sz w:val="24"/>
          <w:szCs w:val="24"/>
        </w:rPr>
      </w:pPr>
      <w:r>
        <w:rPr>
          <w:rFonts w:ascii="Times New Roman" w:hAnsi="Times New Roman" w:cs="Times New Roman"/>
          <w:sz w:val="24"/>
          <w:szCs w:val="24"/>
        </w:rPr>
        <w:tab/>
        <w:t>The four financial models have a distinctive feature that makes each unique and effective in its capacity. For example, in the B</w:t>
      </w:r>
      <w:r w:rsidR="009F684A">
        <w:rPr>
          <w:rFonts w:ascii="Times New Roman" w:hAnsi="Times New Roman" w:cs="Times New Roman"/>
          <w:sz w:val="24"/>
          <w:szCs w:val="24"/>
        </w:rPr>
        <w:t>everidge model, the government plays a central role in managing finances</w:t>
      </w:r>
      <w:r w:rsidR="00F563B0" w:rsidRPr="00F563B0">
        <w:t xml:space="preserve"> </w:t>
      </w:r>
      <w:r w:rsidR="00F563B0" w:rsidRPr="00F563B0">
        <w:rPr>
          <w:rFonts w:ascii="Times New Roman" w:hAnsi="Times New Roman" w:cs="Times New Roman"/>
          <w:sz w:val="24"/>
          <w:szCs w:val="24"/>
        </w:rPr>
        <w:t>(Vera Whole Health, 2020)</w:t>
      </w:r>
      <w:r w:rsidR="009F684A">
        <w:rPr>
          <w:rFonts w:ascii="Times New Roman" w:hAnsi="Times New Roman" w:cs="Times New Roman"/>
          <w:sz w:val="24"/>
          <w:szCs w:val="24"/>
        </w:rPr>
        <w:t xml:space="preserve">. Consequently, they remove every competitor within the market thus, reducing the cost and standardizing benefits. Ideally, this model ensures that patients are not charged an out-pocket fee or cost-sharing. Resultantly, each citizen is guaranteed equal access to medical care with no medical bills. Nevertheless, regulations should be incorporated to limit overutilization as some patients may demand unnecessary healthcare services, therefore wasting resources.  In the Bismarck model, every employer and employee must pay for their medical bills through payroll deductions or private insurance cover.  Like the Beveridge model, the government also controls </w:t>
      </w:r>
      <w:r>
        <w:rPr>
          <w:rFonts w:ascii="Times New Roman" w:hAnsi="Times New Roman" w:cs="Times New Roman"/>
          <w:sz w:val="24"/>
          <w:szCs w:val="24"/>
        </w:rPr>
        <w:t>pricing, however, with no universal health coverage</w:t>
      </w:r>
      <w:r w:rsidR="00F563B0" w:rsidRPr="00F563B0">
        <w:t xml:space="preserve"> </w:t>
      </w:r>
      <w:r w:rsidR="00F563B0" w:rsidRPr="00F563B0">
        <w:rPr>
          <w:rFonts w:ascii="Times New Roman" w:hAnsi="Times New Roman" w:cs="Times New Roman"/>
          <w:sz w:val="24"/>
          <w:szCs w:val="24"/>
        </w:rPr>
        <w:t>(Vera Whole Health, 2020)</w:t>
      </w:r>
      <w:r>
        <w:rPr>
          <w:rFonts w:ascii="Times New Roman" w:hAnsi="Times New Roman" w:cs="Times New Roman"/>
          <w:sz w:val="24"/>
          <w:szCs w:val="24"/>
        </w:rPr>
        <w:t>. Therefore, employers and employees are required to have health insurance cover to meet their medical bills. However, the model is criticized for not incorporating the unemployed, the aging population, and those unable to afford contribution after retiring.</w:t>
      </w:r>
    </w:p>
    <w:p w:rsidR="00331174" w:rsidRDefault="00752E73" w:rsidP="004E3AC9">
      <w:pPr>
        <w:rPr>
          <w:rFonts w:ascii="Times New Roman" w:hAnsi="Times New Roman" w:cs="Times New Roman"/>
          <w:sz w:val="24"/>
          <w:szCs w:val="24"/>
        </w:rPr>
      </w:pPr>
      <w:r>
        <w:rPr>
          <w:rFonts w:ascii="Times New Roman" w:hAnsi="Times New Roman" w:cs="Times New Roman"/>
          <w:sz w:val="24"/>
          <w:szCs w:val="24"/>
        </w:rPr>
        <w:lastRenderedPageBreak/>
        <w:tab/>
        <w:t xml:space="preserve">Thirdly, in the national health insurance model, the difference between Beveridge and Bismarck's model is blended.  For example, private provides drives insurance cover payment while </w:t>
      </w:r>
      <w:r w:rsidR="00D97E2B">
        <w:rPr>
          <w:rFonts w:ascii="Times New Roman" w:hAnsi="Times New Roman" w:cs="Times New Roman"/>
          <w:sz w:val="24"/>
          <w:szCs w:val="24"/>
        </w:rPr>
        <w:t>the government</w:t>
      </w:r>
      <w:r>
        <w:rPr>
          <w:rFonts w:ascii="Times New Roman" w:hAnsi="Times New Roman" w:cs="Times New Roman"/>
          <w:sz w:val="24"/>
          <w:szCs w:val="24"/>
        </w:rPr>
        <w:t xml:space="preserve"> runs the payment program for each </w:t>
      </w:r>
      <w:r w:rsidR="00D97E2B">
        <w:rPr>
          <w:rFonts w:ascii="Times New Roman" w:hAnsi="Times New Roman" w:cs="Times New Roman"/>
          <w:sz w:val="24"/>
          <w:szCs w:val="24"/>
        </w:rPr>
        <w:t>citizen. This program neither makes a profit nor denies claims from its financial operations</w:t>
      </w:r>
      <w:r w:rsidR="00F563B0" w:rsidRPr="00F563B0">
        <w:t xml:space="preserve"> </w:t>
      </w:r>
      <w:r w:rsidR="00F563B0" w:rsidRPr="00F563B0">
        <w:rPr>
          <w:rFonts w:ascii="Times New Roman" w:hAnsi="Times New Roman" w:cs="Times New Roman"/>
          <w:sz w:val="24"/>
          <w:szCs w:val="24"/>
        </w:rPr>
        <w:t>(Vera Whole Health, 2020)</w:t>
      </w:r>
      <w:r w:rsidR="00D97E2B">
        <w:rPr>
          <w:rFonts w:ascii="Times New Roman" w:hAnsi="Times New Roman" w:cs="Times New Roman"/>
          <w:sz w:val="24"/>
          <w:szCs w:val="24"/>
        </w:rPr>
        <w:t>. Consequently, it is cheap and easier to navigate through this model subject to the above elements. However, as with other models, it is criticized for the potential of having delays during treatment which is a critical factor within the health sector.  Finally, the out-of-pocket model is used mainly in developing nations with limited financial resources. Patients are required to pay for their medical bills from their pocket. Unfortunately, low-income earners receive poor treatment compared to wealth in this case unless they have enough capital</w:t>
      </w:r>
      <w:r w:rsidR="00F563B0" w:rsidRPr="00F563B0">
        <w:t xml:space="preserve"> </w:t>
      </w:r>
      <w:r w:rsidR="00F563B0" w:rsidRPr="00F563B0">
        <w:rPr>
          <w:rFonts w:ascii="Times New Roman" w:hAnsi="Times New Roman" w:cs="Times New Roman"/>
          <w:sz w:val="24"/>
          <w:szCs w:val="24"/>
        </w:rPr>
        <w:t>(Vera Whole Health, 2020)</w:t>
      </w:r>
      <w:r w:rsidR="00D97E2B">
        <w:rPr>
          <w:rFonts w:ascii="Times New Roman" w:hAnsi="Times New Roman" w:cs="Times New Roman"/>
          <w:sz w:val="24"/>
          <w:szCs w:val="24"/>
        </w:rPr>
        <w:t>.  Generally, more research should be conducted to evaluate effective models subject to strengths and weaknesses and ensure equality within healthcare sectors (patients, providers, and government).</w:t>
      </w: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Default="00F563B0" w:rsidP="004E3AC9">
      <w:pPr>
        <w:rPr>
          <w:rFonts w:ascii="Times New Roman" w:hAnsi="Times New Roman" w:cs="Times New Roman"/>
          <w:sz w:val="24"/>
          <w:szCs w:val="24"/>
        </w:rPr>
      </w:pPr>
    </w:p>
    <w:p w:rsidR="00F563B0" w:rsidRPr="00F563B0" w:rsidRDefault="00752E73" w:rsidP="00F563B0">
      <w:pPr>
        <w:pStyle w:val="NormalWeb"/>
        <w:spacing w:before="0" w:beforeAutospacing="0" w:after="0" w:afterAutospacing="0" w:line="480" w:lineRule="auto"/>
        <w:jc w:val="center"/>
        <w:rPr>
          <w:b/>
        </w:rPr>
      </w:pPr>
      <w:r w:rsidRPr="00F563B0">
        <w:rPr>
          <w:b/>
        </w:rPr>
        <w:t>References</w:t>
      </w:r>
    </w:p>
    <w:p w:rsidR="00F563B0" w:rsidRDefault="00752E73" w:rsidP="00F563B0">
      <w:pPr>
        <w:pStyle w:val="NormalWeb"/>
        <w:spacing w:before="0" w:beforeAutospacing="0" w:after="0" w:afterAutospacing="0" w:line="480" w:lineRule="auto"/>
        <w:ind w:left="720" w:hanging="720"/>
      </w:pPr>
      <w:r>
        <w:t xml:space="preserve">Vera Whole Health. (2020, September 10). </w:t>
      </w:r>
      <w:r>
        <w:rPr>
          <w:i/>
          <w:iCs/>
        </w:rPr>
        <w:t>Global healthcare: 4 major national models and how they work</w:t>
      </w:r>
      <w:r>
        <w:t xml:space="preserve">. Www.verawholehealth.com. </w:t>
      </w:r>
      <w:hyperlink r:id="rId6" w:history="1">
        <w:r w:rsidRPr="001172DE">
          <w:rPr>
            <w:rStyle w:val="Hyperlink"/>
          </w:rPr>
          <w:t>https://www.verawholehealth.com/blog/global-healthcare-4-major-national-models-and-how-they-work</w:t>
        </w:r>
      </w:hyperlink>
      <w:r>
        <w:t xml:space="preserve"> </w:t>
      </w:r>
    </w:p>
    <w:p w:rsidR="00F563B0" w:rsidRPr="004E3AC9" w:rsidRDefault="00F563B0" w:rsidP="004E3AC9">
      <w:pPr>
        <w:rPr>
          <w:rFonts w:ascii="Times New Roman" w:hAnsi="Times New Roman" w:cs="Times New Roman"/>
          <w:sz w:val="24"/>
          <w:szCs w:val="24"/>
        </w:rPr>
      </w:pPr>
    </w:p>
    <w:sectPr w:rsidR="00F563B0" w:rsidRPr="004E3AC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E73" w:rsidRDefault="00752E73">
      <w:pPr>
        <w:spacing w:line="240" w:lineRule="auto"/>
      </w:pPr>
      <w:r>
        <w:separator/>
      </w:r>
    </w:p>
  </w:endnote>
  <w:endnote w:type="continuationSeparator" w:id="0">
    <w:p w:rsidR="00752E73" w:rsidRDefault="00752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FA" w:rsidRDefault="00D225F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FA" w:rsidRDefault="00D225F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FA" w:rsidRDefault="00D225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E73" w:rsidRDefault="00752E73">
      <w:pPr>
        <w:spacing w:line="240" w:lineRule="auto"/>
      </w:pPr>
      <w:r>
        <w:separator/>
      </w:r>
    </w:p>
  </w:footnote>
  <w:footnote w:type="continuationSeparator" w:id="0">
    <w:p w:rsidR="00752E73" w:rsidRDefault="00752E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FA" w:rsidRDefault="00D225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82688235"/>
      <w:docPartObj>
        <w:docPartGallery w:val="Page Numbers (Top of Page)"/>
        <w:docPartUnique/>
      </w:docPartObj>
    </w:sdtPr>
    <w:sdtEndPr>
      <w:rPr>
        <w:noProof/>
      </w:rPr>
    </w:sdtEndPr>
    <w:sdtContent>
      <w:p w:rsidR="004E3AC9" w:rsidRPr="004E3AC9" w:rsidRDefault="00752E73" w:rsidP="004E3AC9">
        <w:pPr>
          <w:pStyle w:val="Header"/>
          <w:spacing w:line="480" w:lineRule="auto"/>
          <w:jc w:val="right"/>
          <w:rPr>
            <w:rFonts w:ascii="Times New Roman" w:hAnsi="Times New Roman" w:cs="Times New Roman"/>
            <w:sz w:val="24"/>
            <w:szCs w:val="24"/>
          </w:rPr>
        </w:pPr>
        <w:r w:rsidRPr="004E3AC9">
          <w:rPr>
            <w:rFonts w:ascii="Times New Roman" w:hAnsi="Times New Roman" w:cs="Times New Roman"/>
            <w:sz w:val="24"/>
            <w:szCs w:val="24"/>
          </w:rPr>
          <w:fldChar w:fldCharType="begin"/>
        </w:r>
        <w:r w:rsidRPr="004E3AC9">
          <w:rPr>
            <w:rFonts w:ascii="Times New Roman" w:hAnsi="Times New Roman" w:cs="Times New Roman"/>
            <w:sz w:val="24"/>
            <w:szCs w:val="24"/>
          </w:rPr>
          <w:instrText xml:space="preserve"> PAGE   \* MERGEFORMAT </w:instrText>
        </w:r>
        <w:r w:rsidRPr="004E3AC9">
          <w:rPr>
            <w:rFonts w:ascii="Times New Roman" w:hAnsi="Times New Roman" w:cs="Times New Roman"/>
            <w:sz w:val="24"/>
            <w:szCs w:val="24"/>
          </w:rPr>
          <w:fldChar w:fldCharType="separate"/>
        </w:r>
        <w:r w:rsidR="009969F3">
          <w:rPr>
            <w:rFonts w:ascii="Times New Roman" w:hAnsi="Times New Roman" w:cs="Times New Roman"/>
            <w:noProof/>
            <w:sz w:val="24"/>
            <w:szCs w:val="24"/>
          </w:rPr>
          <w:t>1</w:t>
        </w:r>
        <w:r w:rsidRPr="004E3AC9">
          <w:rPr>
            <w:rFonts w:ascii="Times New Roman" w:hAnsi="Times New Roman" w:cs="Times New Roman"/>
            <w:noProof/>
            <w:sz w:val="24"/>
            <w:szCs w:val="24"/>
          </w:rPr>
          <w:fldChar w:fldCharType="end"/>
        </w:r>
      </w:p>
    </w:sdtContent>
  </w:sdt>
  <w:p w:rsidR="004E3AC9" w:rsidRDefault="004E3AC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FA" w:rsidRDefault="00D225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1NDMwMDUyMzY0M7BU0lEKTi0uzszPAykwrAUA3HtqPywAAAA="/>
  </w:docVars>
  <w:rsids>
    <w:rsidRoot w:val="004E3AC9"/>
    <w:rsid w:val="001172DE"/>
    <w:rsid w:val="001216C3"/>
    <w:rsid w:val="00330A32"/>
    <w:rsid w:val="00331174"/>
    <w:rsid w:val="004934D7"/>
    <w:rsid w:val="004E3AC9"/>
    <w:rsid w:val="005A2C7F"/>
    <w:rsid w:val="00707198"/>
    <w:rsid w:val="00752E73"/>
    <w:rsid w:val="009969F3"/>
    <w:rsid w:val="009F684A"/>
    <w:rsid w:val="00C713FB"/>
    <w:rsid w:val="00D225FA"/>
    <w:rsid w:val="00D97E2B"/>
    <w:rsid w:val="00F5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AC9"/>
    <w:pPr>
      <w:tabs>
        <w:tab w:val="center" w:pos="4680"/>
        <w:tab w:val="right" w:pos="9360"/>
      </w:tabs>
      <w:spacing w:line="240" w:lineRule="auto"/>
    </w:pPr>
  </w:style>
  <w:style w:type="character" w:customStyle="1" w:styleId="HeaderChar">
    <w:name w:val="Header Char"/>
    <w:basedOn w:val="DefaultParagraphFont"/>
    <w:link w:val="Header"/>
    <w:uiPriority w:val="99"/>
    <w:rsid w:val="004E3AC9"/>
  </w:style>
  <w:style w:type="paragraph" w:styleId="Footer">
    <w:name w:val="footer"/>
    <w:basedOn w:val="Normal"/>
    <w:link w:val="FooterChar"/>
    <w:uiPriority w:val="99"/>
    <w:unhideWhenUsed/>
    <w:rsid w:val="004E3AC9"/>
    <w:pPr>
      <w:tabs>
        <w:tab w:val="center" w:pos="4680"/>
        <w:tab w:val="right" w:pos="9360"/>
      </w:tabs>
      <w:spacing w:line="240" w:lineRule="auto"/>
    </w:pPr>
  </w:style>
  <w:style w:type="character" w:customStyle="1" w:styleId="FooterChar">
    <w:name w:val="Footer Char"/>
    <w:basedOn w:val="DefaultParagraphFont"/>
    <w:link w:val="Footer"/>
    <w:uiPriority w:val="99"/>
    <w:rsid w:val="004E3AC9"/>
  </w:style>
  <w:style w:type="paragraph" w:styleId="NormalWeb">
    <w:name w:val="Normal (Web)"/>
    <w:basedOn w:val="Normal"/>
    <w:uiPriority w:val="99"/>
    <w:semiHidden/>
    <w:unhideWhenUsed/>
    <w:rsid w:val="00F563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63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awholehealth.com/blog/global-healthcare-4-major-national-models-and-how-they-wor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2021-09-08T17:33:00Z</dcterms:created>
  <dcterms:modified xsi:type="dcterms:W3CDTF">2021-09-08T17:33:00Z</dcterms:modified>
</cp:coreProperties>
</file>